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FB" w:rsidRPr="00A65717" w:rsidRDefault="003E70FB" w:rsidP="003E70FB">
      <w:pPr>
        <w:spacing w:after="0" w:line="320" w:lineRule="exact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bg-BG" w:bidi="hi-IN"/>
        </w:rPr>
      </w:pPr>
      <w:r w:rsidRPr="00A6571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КРИТЕРИЙ И МЕТОДИКА ЗА ОЦЕНКА НА ОФЕРТИТЕ </w:t>
      </w:r>
    </w:p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</w:pPr>
    </w:p>
    <w:p w:rsidR="003E70FB" w:rsidRPr="00A65717" w:rsidRDefault="003E70FB" w:rsidP="003E70FB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1. </w:t>
      </w:r>
      <w:r w:rsidRPr="00A65717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ab/>
        <w:t xml:space="preserve">Критерий за оценка; показатели и относителната им тежест в комплексната оценка. </w:t>
      </w:r>
    </w:p>
    <w:p w:rsidR="003E70FB" w:rsidRPr="00A65717" w:rsidRDefault="003E70FB" w:rsidP="003E70F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</w:t>
      </w:r>
      <w:proofErr w:type="spellStart"/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</w:t>
      </w:r>
      <w:proofErr w:type="spellEnd"/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>Критерият за оценка на офертите е „икономически най-изгодна оферта</w:t>
      </w:r>
      <w:r w:rsidR="000C2457" w:rsidRPr="00A65717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“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при оптимално съотношение качество/цена. Офертите, допуснати до участие след проверка за съответствието им с изискванията на Възложителя, се оценяват от длъжностни лица, определени от Възложителя по критерия „икономически най-изгодна оферта</w:t>
      </w:r>
      <w:r w:rsidR="009B33A2"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“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и в съответствие с предварително обявените от Възложителя условия. </w:t>
      </w:r>
    </w:p>
    <w:p w:rsidR="003E70FB" w:rsidRPr="00A65717" w:rsidRDefault="003E70FB" w:rsidP="003E70FB">
      <w:pPr>
        <w:tabs>
          <w:tab w:val="left" w:pos="426"/>
        </w:tabs>
        <w:spacing w:after="0" w:line="240" w:lineRule="auto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</w:p>
    <w:p w:rsidR="003E70FB" w:rsidRPr="00A65717" w:rsidRDefault="003E70FB" w:rsidP="003E70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1.2. 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>Показатели за оценка и методика за определяне на комплексната оценка на офертите:</w:t>
      </w:r>
    </w:p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3E70FB" w:rsidRPr="00A65717" w:rsidRDefault="003E70FB" w:rsidP="003E70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П1 - ЦЕНА</w:t>
      </w:r>
    </w:p>
    <w:p w:rsidR="003E70FB" w:rsidRPr="00A65717" w:rsidRDefault="003E70FB" w:rsidP="003E70FB">
      <w:pPr>
        <w:spacing w:after="0" w:line="240" w:lineRule="auto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03"/>
        <w:gridCol w:w="2795"/>
        <w:gridCol w:w="2268"/>
        <w:gridCol w:w="1706"/>
      </w:tblGrid>
      <w:tr w:rsidR="00A65717" w:rsidRPr="00A65717" w:rsidTr="00B006FB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Показател (наименование)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Относителна тежест в комплексната оценка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Максимален възможен брой точки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Символно означение</w:t>
            </w:r>
          </w:p>
        </w:tc>
      </w:tr>
      <w:tr w:rsidR="003E70FB" w:rsidRPr="00A65717" w:rsidTr="00B006FB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DejaVu Serif" w:eastAsia="DejaVu Sans" w:hAnsi="DejaVu Serif" w:cs="Noto Sans Devanagari"/>
                <w:b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Цена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DejaVu Serif" w:eastAsia="DejaVu Sans" w:hAnsi="DejaVu Serif" w:cs="Noto Sans Devanagari"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 w:bidi="hi-IN"/>
              </w:rPr>
              <w:t>6</w:t>
            </w: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0% (0,</w:t>
            </w: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 w:bidi="hi-IN"/>
              </w:rPr>
              <w:t>6</w:t>
            </w: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DejaVu Serif" w:eastAsia="DejaVu Sans" w:hAnsi="DejaVu Serif" w:cs="Noto Sans Devanagari"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hi-IN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DejaVu Serif" w:eastAsia="DejaVu Sans" w:hAnsi="DejaVu Serif" w:cs="Noto Sans Devanagari"/>
                <w:sz w:val="24"/>
                <w:szCs w:val="24"/>
                <w:lang w:eastAsia="zh-CN" w:bidi="hi-IN"/>
              </w:rPr>
            </w:pPr>
            <w:proofErr w:type="spellStart"/>
            <w:r w:rsidRPr="00A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hi-IN"/>
              </w:rPr>
              <w:t>Пц</w:t>
            </w:r>
            <w:proofErr w:type="spellEnd"/>
          </w:p>
        </w:tc>
      </w:tr>
    </w:tbl>
    <w:p w:rsidR="003E70FB" w:rsidRPr="00A65717" w:rsidRDefault="003E70FB" w:rsidP="003E70FB">
      <w:pPr>
        <w:spacing w:after="0" w:line="240" w:lineRule="auto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Показател П1 „Цена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i-IN"/>
        </w:rPr>
        <w:t>“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 xml:space="preserve"> с максимален брой точки – 100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i-IN"/>
        </w:rPr>
        <w:t xml:space="preserve"> 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и относителна тежест в комплексната оценка – 0,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i-IN"/>
        </w:rPr>
        <w:t>6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0.</w:t>
      </w:r>
    </w:p>
    <w:p w:rsidR="003E70FB" w:rsidRPr="00A65717" w:rsidRDefault="003E70FB" w:rsidP="003E70FB">
      <w:pPr>
        <w:spacing w:after="0" w:line="240" w:lineRule="auto"/>
        <w:ind w:firstLine="567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Максималният брой точки получава офертата с предложена най-ниска цена - 100 точки. Точките на останалите участници се определят в съотношение към най-ниската предложена цена по следната формула:</w:t>
      </w: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</w:t>
      </w:r>
    </w:p>
    <w:p w:rsidR="003E70FB" w:rsidRPr="00A65717" w:rsidRDefault="003E70FB" w:rsidP="003E70FB">
      <w:pPr>
        <w:spacing w:after="0" w:line="240" w:lineRule="auto"/>
        <w:ind w:firstLine="567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proofErr w:type="spellStart"/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Пц</w:t>
      </w:r>
      <w:proofErr w:type="spellEnd"/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= 100 х </w:t>
      </w:r>
      <w:proofErr w:type="spellStart"/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Сmin</w:t>
      </w:r>
      <w:proofErr w:type="spellEnd"/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/</w:t>
      </w:r>
      <w:proofErr w:type="spellStart"/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Сn</w:t>
      </w:r>
      <w:proofErr w:type="spellEnd"/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,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където:</w:t>
      </w:r>
    </w:p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                             </w:t>
      </w:r>
    </w:p>
    <w:p w:rsidR="003E70FB" w:rsidRPr="00A65717" w:rsidRDefault="003E70FB" w:rsidP="003E70FB">
      <w:pPr>
        <w:numPr>
          <w:ilvl w:val="0"/>
          <w:numId w:val="1"/>
        </w:numPr>
        <w:spacing w:before="120" w:after="0" w:line="240" w:lineRule="auto"/>
        <w:ind w:left="709" w:hanging="283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“100” са максималните точки по показателя;</w:t>
      </w:r>
    </w:p>
    <w:p w:rsidR="003E70FB" w:rsidRPr="00A65717" w:rsidRDefault="003E70FB" w:rsidP="003E70FB">
      <w:pPr>
        <w:numPr>
          <w:ilvl w:val="0"/>
          <w:numId w:val="1"/>
        </w:numPr>
        <w:spacing w:before="120" w:after="0" w:line="240" w:lineRule="auto"/>
        <w:ind w:left="709" w:hanging="283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“</w:t>
      </w:r>
      <w:proofErr w:type="spellStart"/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Cmin</w:t>
      </w:r>
      <w:proofErr w:type="spellEnd"/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” е най-ниската предложена цена;</w:t>
      </w:r>
    </w:p>
    <w:p w:rsidR="003E70FB" w:rsidRPr="00A65717" w:rsidRDefault="003E70FB" w:rsidP="003E70FB">
      <w:pPr>
        <w:numPr>
          <w:ilvl w:val="0"/>
          <w:numId w:val="1"/>
        </w:numPr>
        <w:spacing w:before="120" w:after="0" w:line="240" w:lineRule="auto"/>
        <w:ind w:left="709" w:hanging="283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“</w:t>
      </w:r>
      <w:proofErr w:type="spellStart"/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Cn</w:t>
      </w:r>
      <w:proofErr w:type="spellEnd"/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” е предложената цена от кандидата, чието предложение се разглежда.</w:t>
      </w:r>
    </w:p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</w:pP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Точките по първия показател на n-я участник се получават по следната формула: </w:t>
      </w: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П1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 xml:space="preserve"> = </w:t>
      </w:r>
      <w:proofErr w:type="spellStart"/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Пц</w:t>
      </w:r>
      <w:proofErr w:type="spellEnd"/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 xml:space="preserve"> х 0,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i-IN"/>
        </w:rPr>
        <w:t>6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0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, където „0,</w:t>
      </w:r>
      <w:r w:rsidRPr="00A65717">
        <w:rPr>
          <w:rFonts w:ascii="Times New Roman" w:eastAsia="Times New Roman" w:hAnsi="Times New Roman" w:cs="Times New Roman"/>
          <w:sz w:val="24"/>
          <w:szCs w:val="24"/>
          <w:lang w:val="en-US" w:eastAsia="en-GB" w:bidi="hi-IN"/>
        </w:rPr>
        <w:t>6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0” е относителната тежест на показателя.</w:t>
      </w:r>
    </w:p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</w:pPr>
    </w:p>
    <w:p w:rsidR="003E70FB" w:rsidRPr="00A65717" w:rsidRDefault="003E70FB" w:rsidP="003E70FB">
      <w:pPr>
        <w:spacing w:after="0" w:line="240" w:lineRule="auto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Забележка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: </w:t>
      </w:r>
      <w:r w:rsidRPr="00A65717">
        <w:rPr>
          <w:rFonts w:ascii="Times New Roman" w:eastAsia="Times New Roman" w:hAnsi="Times New Roman" w:cs="Times New Roman"/>
          <w:i/>
          <w:sz w:val="24"/>
          <w:szCs w:val="24"/>
          <w:lang w:eastAsia="en-GB" w:bidi="hi-IN"/>
        </w:rPr>
        <w:t>Стойността на точките по показател „Цена” се изчислява до втория знак след десетичната запетая.</w:t>
      </w:r>
    </w:p>
    <w:p w:rsidR="003E70FB" w:rsidRPr="00A65717" w:rsidRDefault="003E70FB" w:rsidP="003E70FB">
      <w:pPr>
        <w:spacing w:after="0" w:line="240" w:lineRule="auto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</w:p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П2 – КАЧЕСТВО</w:t>
      </w:r>
    </w:p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03"/>
        <w:gridCol w:w="3221"/>
        <w:gridCol w:w="2126"/>
        <w:gridCol w:w="1422"/>
      </w:tblGrid>
      <w:tr w:rsidR="00A65717" w:rsidRPr="00A65717" w:rsidTr="00B006FB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Показател (наименование)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Относителна тежест в комплексната оценка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Максимален възможен брой точки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Символно означение</w:t>
            </w:r>
          </w:p>
        </w:tc>
      </w:tr>
      <w:tr w:rsidR="003E70FB" w:rsidRPr="00A65717" w:rsidTr="00B006FB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Качество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40% (0,40)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Пк</w:t>
            </w:r>
          </w:p>
        </w:tc>
      </w:tr>
    </w:tbl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</w:pP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lastRenderedPageBreak/>
        <w:t>Показател П2 „Качество</w:t>
      </w:r>
      <w:r w:rsidR="00462DA4"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“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 xml:space="preserve"> с максимален брой точки – 100 и относителна тежест в комплексната оценка – 0,40.</w:t>
      </w: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 w:bidi="hi-IN"/>
        </w:rPr>
      </w:pP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Точките по втория показател на n-я участник се получават по следната формула: </w:t>
      </w: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П2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 xml:space="preserve"> = Пк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 xml:space="preserve"> х 0,40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, където „0,40” е относителната тежест на показателя.</w:t>
      </w: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i-IN"/>
        </w:rPr>
      </w:pP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Пк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 xml:space="preserve"> = ПП1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 xml:space="preserve"> + ПП2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="000C2457"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 xml:space="preserve">  </w:t>
      </w:r>
      <w:r w:rsidRPr="00A65717">
        <w:rPr>
          <w:rFonts w:ascii="DejaVu Serif" w:eastAsia="DejaVu Sans" w:hAnsi="DejaVu Serif" w:cs="Noto Sans Devanagari"/>
          <w:sz w:val="24"/>
          <w:szCs w:val="24"/>
          <w:lang w:eastAsia="zh-CN" w:bidi="hi-IN"/>
        </w:rPr>
        <w:t xml:space="preserve"> 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+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i-IN"/>
        </w:rPr>
        <w:t xml:space="preserve"> 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ПП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i-IN"/>
        </w:rPr>
        <w:t>3</w:t>
      </w:r>
      <w:r w:rsidR="000C2457"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="000C2457" w:rsidRPr="00A65717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 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+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i-IN"/>
        </w:rPr>
        <w:t xml:space="preserve"> 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ПП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i-IN"/>
        </w:rPr>
        <w:t>4</w:t>
      </w:r>
      <w:r w:rsidR="000C2457"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="000C2457" w:rsidRPr="00A65717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 </w:t>
      </w:r>
      <w:r w:rsidR="000C2457" w:rsidRPr="00A65717"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  <w:t xml:space="preserve"> 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+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i-IN"/>
        </w:rPr>
        <w:t xml:space="preserve"> 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ПП</w:t>
      </w:r>
      <w:r w:rsidR="000C2457" w:rsidRPr="00A65717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i-IN"/>
        </w:rPr>
        <w:t>5</w:t>
      </w:r>
      <w:r w:rsidR="000C2457"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="000C2457" w:rsidRPr="00A65717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 </w:t>
      </w:r>
      <w:r w:rsidRPr="00A65717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и се формира като сбор от точките на следните </w:t>
      </w:r>
      <w:proofErr w:type="spellStart"/>
      <w:r w:rsidRPr="00A65717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подпоказатели</w:t>
      </w:r>
      <w:proofErr w:type="spellEnd"/>
      <w:r w:rsidRPr="00A65717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:</w:t>
      </w:r>
    </w:p>
    <w:p w:rsidR="003E70FB" w:rsidRPr="00A65717" w:rsidRDefault="003E70FB" w:rsidP="003E70FB">
      <w:pPr>
        <w:spacing w:after="0" w:line="240" w:lineRule="auto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24"/>
        <w:gridCol w:w="1847"/>
        <w:gridCol w:w="1701"/>
      </w:tblGrid>
      <w:tr w:rsidR="00A65717" w:rsidRPr="00A65717" w:rsidTr="00B006FB"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proofErr w:type="spellStart"/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Подпоказател</w:t>
            </w:r>
            <w:proofErr w:type="spellEnd"/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 xml:space="preserve"> (наименование)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Символно означение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  <w:t>Максимален възможен брой точки</w:t>
            </w:r>
          </w:p>
        </w:tc>
      </w:tr>
      <w:tr w:rsidR="00A65717" w:rsidRPr="00A65717" w:rsidTr="000C2457"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0FB" w:rsidRPr="00A65717" w:rsidRDefault="000C2457" w:rsidP="000C2457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  <w:t xml:space="preserve">1. </w:t>
            </w:r>
            <w:r w:rsidR="003E70FB" w:rsidRPr="00A65717"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  <w:t>Предложение за управление на проектните дейности и управление на качеството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ПП1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70FB" w:rsidRPr="00A65717" w:rsidRDefault="000C2457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A65717" w:rsidRPr="00A65717" w:rsidTr="00B006FB"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2457" w:rsidRPr="00A65717" w:rsidRDefault="000C2457" w:rsidP="000C2457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  <w:t>2. Предложение за  подход за преглед и анализ на практиката на страните-членки на ЕС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C2457" w:rsidRPr="00A65717" w:rsidRDefault="000C2457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ПП2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C2457" w:rsidRPr="00A65717" w:rsidRDefault="000C2457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A65717" w:rsidRPr="00A65717" w:rsidTr="000C2457"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C2457" w:rsidRPr="00A65717" w:rsidRDefault="000C2457" w:rsidP="000C2457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  <w:t>3. Предложение за подход за извършване на анализ на състоянието на съдилищата и прокуратурите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2457" w:rsidRPr="00A65717" w:rsidRDefault="000C2457" w:rsidP="009F645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ПП</w:t>
            </w: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C2457" w:rsidRPr="00A65717" w:rsidRDefault="000C2457" w:rsidP="009F645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A65717" w:rsidRPr="00A65717" w:rsidTr="000C2457"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C2457" w:rsidRPr="00A65717" w:rsidRDefault="000C2457" w:rsidP="00243FEA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  <w:t xml:space="preserve">4. Предложение за </w:t>
            </w:r>
            <w:r w:rsidR="00243FEA" w:rsidRPr="00A65717"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  <w:t>подход за разработване на предложения за оптимизация на съдебната карта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2457" w:rsidRPr="00A65717" w:rsidRDefault="000C2457" w:rsidP="000C24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ПП</w:t>
            </w: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C2457" w:rsidRPr="00A65717" w:rsidRDefault="000C2457" w:rsidP="009F645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A65717" w:rsidRPr="00A65717" w:rsidTr="000C2457"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0FB" w:rsidRPr="00A65717" w:rsidRDefault="000C2457" w:rsidP="00243FEA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  <w:t xml:space="preserve">5. Предложение за </w:t>
            </w:r>
            <w:r w:rsidR="00243FEA" w:rsidRPr="00A65717">
              <w:rPr>
                <w:rFonts w:ascii="Times New Roman" w:eastAsia="Times New Roman" w:hAnsi="Times New Roman" w:cs="Times New Roman"/>
                <w:sz w:val="24"/>
                <w:szCs w:val="21"/>
                <w:lang w:eastAsia="zh-CN" w:bidi="hi-IN"/>
              </w:rPr>
              <w:t>подход за изготвяне на предложения за изменения и допълнения на действащото законодателство в съответствие с резултатите по проекта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0C2457" w:rsidP="000C24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ПП</w:t>
            </w: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70FB" w:rsidRPr="00A65717" w:rsidRDefault="000C2457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3E70FB" w:rsidRPr="00A65717" w:rsidTr="00B006FB"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3E70FB" w:rsidP="001E3F5C">
            <w:pPr>
              <w:spacing w:before="20" w:after="20" w:line="240" w:lineRule="auto"/>
              <w:ind w:firstLine="318"/>
              <w:jc w:val="both"/>
              <w:rPr>
                <w:rFonts w:ascii="Times New Roman Bold" w:eastAsia="Times New Roman" w:hAnsi="Times New Roman Bold" w:cs="Times New Roman"/>
                <w:b/>
                <w:spacing w:val="-8"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 Bold" w:eastAsia="Times New Roman" w:hAnsi="Times New Roman Bold" w:cs="Times New Roman"/>
                <w:b/>
                <w:spacing w:val="-8"/>
                <w:sz w:val="24"/>
                <w:szCs w:val="24"/>
                <w:lang w:eastAsia="zh-CN" w:bidi="hi-IN"/>
              </w:rPr>
              <w:t xml:space="preserve">Общ брой точки от </w:t>
            </w:r>
            <w:r w:rsidR="001E3F5C" w:rsidRPr="00A657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zh-CN" w:bidi="hi-IN"/>
              </w:rPr>
              <w:t>петте</w:t>
            </w:r>
            <w:r w:rsidRPr="00A6571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65717">
              <w:rPr>
                <w:rFonts w:ascii="Times New Roman Bold" w:eastAsia="Times New Roman" w:hAnsi="Times New Roman Bold" w:cs="Times New Roman"/>
                <w:b/>
                <w:spacing w:val="-8"/>
                <w:sz w:val="24"/>
                <w:szCs w:val="24"/>
                <w:lang w:eastAsia="zh-CN" w:bidi="hi-IN"/>
              </w:rPr>
              <w:t>подпоказатели</w:t>
            </w:r>
            <w:proofErr w:type="spellEnd"/>
            <w:r w:rsidRPr="00A65717">
              <w:rPr>
                <w:rFonts w:ascii="Times New Roman Bold" w:eastAsia="Times New Roman" w:hAnsi="Times New Roman Bold" w:cs="Times New Roman"/>
                <w:b/>
                <w:spacing w:val="-8"/>
                <w:sz w:val="24"/>
                <w:szCs w:val="24"/>
                <w:lang w:eastAsia="zh-CN" w:bidi="hi-IN"/>
              </w:rPr>
              <w:t xml:space="preserve"> по показател „Качество“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0FB" w:rsidRPr="00A65717" w:rsidRDefault="003E70FB" w:rsidP="00B006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100</w:t>
            </w:r>
          </w:p>
        </w:tc>
      </w:tr>
    </w:tbl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</w:pP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</w:pPr>
      <w:r w:rsidRPr="00A65717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 xml:space="preserve">Таблица за оценка на </w:t>
      </w:r>
      <w:proofErr w:type="spellStart"/>
      <w:r w:rsidRPr="00A65717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подпоказатели</w:t>
      </w:r>
      <w:proofErr w:type="spellEnd"/>
      <w:r w:rsidRPr="00A65717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 xml:space="preserve"> ПП1 </w:t>
      </w:r>
      <w:r w:rsidR="0006065F" w:rsidRPr="00A65717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 xml:space="preserve">– </w:t>
      </w:r>
      <w:r w:rsidRPr="00A65717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ПП</w:t>
      </w:r>
      <w:r w:rsidR="0006065F" w:rsidRPr="00A65717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5</w:t>
      </w:r>
      <w:r w:rsidRPr="00A65717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:</w:t>
      </w:r>
    </w:p>
    <w:p w:rsidR="003E70FB" w:rsidRPr="00A65717" w:rsidRDefault="003E70FB" w:rsidP="003E70FB">
      <w:pPr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A65717" w:rsidRPr="00A65717" w:rsidTr="00243F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3FEA" w:rsidRPr="00A65717" w:rsidRDefault="00243FEA" w:rsidP="00243FE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Таблица за оценка на технически </w:t>
            </w:r>
            <w:proofErr w:type="spellStart"/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подпоказател</w:t>
            </w:r>
            <w:proofErr w:type="spellEnd"/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ПП1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3FEA" w:rsidRPr="00A65717" w:rsidRDefault="00243FEA" w:rsidP="00B006FB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Брой точки</w:t>
            </w:r>
          </w:p>
        </w:tc>
      </w:tr>
      <w:tr w:rsidR="00A65717" w:rsidRPr="00A65717" w:rsidTr="00243F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B006FB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>Предложението на участника отговаря на всички изисквания:</w:t>
            </w:r>
          </w:p>
          <w:p w:rsidR="00243FEA" w:rsidRPr="00A65717" w:rsidRDefault="00243FEA" w:rsidP="00354679">
            <w:pPr>
              <w:numPr>
                <w:ilvl w:val="0"/>
                <w:numId w:val="3"/>
              </w:numPr>
              <w:spacing w:before="20" w:after="2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В предложената методология за управление на проекти е представено виждането на участника  за нейното приложение/адаптиране, съгласно контекста на настоящата поръчка.</w:t>
            </w:r>
          </w:p>
          <w:p w:rsidR="00243FEA" w:rsidRPr="00A65717" w:rsidRDefault="00243FEA" w:rsidP="003E70FB">
            <w:pPr>
              <w:numPr>
                <w:ilvl w:val="0"/>
                <w:numId w:val="3"/>
              </w:numPr>
              <w:spacing w:before="20" w:after="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Участникът е посочил по какъв начин използването на предложената методология ще допринесе за успешното изпълнение на настоящата поръчка.</w:t>
            </w:r>
          </w:p>
          <w:p w:rsidR="00243FEA" w:rsidRPr="00A65717" w:rsidRDefault="00243FEA" w:rsidP="003E70FB">
            <w:pPr>
              <w:numPr>
                <w:ilvl w:val="0"/>
                <w:numId w:val="3"/>
              </w:numPr>
              <w:spacing w:before="20" w:after="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Участникът е посочил необходимостта и очакваните резултати за всяко от описаните в предложената методология действия.</w:t>
            </w:r>
          </w:p>
          <w:p w:rsidR="00243FEA" w:rsidRPr="00A65717" w:rsidRDefault="00243FEA" w:rsidP="003E70FB">
            <w:pPr>
              <w:numPr>
                <w:ilvl w:val="0"/>
                <w:numId w:val="3"/>
              </w:numPr>
              <w:spacing w:before="20" w:after="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 xml:space="preserve">Участникът е предложил мерки за контрол, </w:t>
            </w:r>
            <w:proofErr w:type="spellStart"/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относими</w:t>
            </w:r>
            <w:proofErr w:type="spellEnd"/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 xml:space="preserve"> към цялостния процес на изпълнение на проектните дейности, които ще прилага с цел качествено и навременно изпълнение на поръчката.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B006FB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20 точки</w:t>
            </w:r>
          </w:p>
        </w:tc>
      </w:tr>
      <w:tr w:rsidR="00A65717" w:rsidRPr="00A65717" w:rsidTr="00243F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B006FB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>Предложението на участника отговаря на 3 от изискванията:</w:t>
            </w:r>
          </w:p>
          <w:p w:rsidR="00243FEA" w:rsidRPr="00A65717" w:rsidRDefault="00243FEA" w:rsidP="003E70FB">
            <w:pPr>
              <w:numPr>
                <w:ilvl w:val="0"/>
                <w:numId w:val="4"/>
              </w:numPr>
              <w:spacing w:before="20" w:after="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В предложената методология за управление на проекти е представено виждането на участника  за нейното приложение/адаптиране, съгласно контекста на настоящата поръчка.</w:t>
            </w:r>
          </w:p>
          <w:p w:rsidR="00243FEA" w:rsidRPr="00A65717" w:rsidRDefault="00243FEA" w:rsidP="003E70FB">
            <w:pPr>
              <w:numPr>
                <w:ilvl w:val="0"/>
                <w:numId w:val="4"/>
              </w:numPr>
              <w:spacing w:before="20" w:after="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 xml:space="preserve">Участникът е посочил по какъв начин използването на предложената методология ще допринесе за успешното </w:t>
            </w: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lastRenderedPageBreak/>
              <w:t>изпълнение на настоящата поръчка.</w:t>
            </w:r>
          </w:p>
          <w:p w:rsidR="00243FEA" w:rsidRPr="00A65717" w:rsidRDefault="00243FEA" w:rsidP="003E70FB">
            <w:pPr>
              <w:numPr>
                <w:ilvl w:val="0"/>
                <w:numId w:val="4"/>
              </w:numPr>
              <w:spacing w:before="20" w:after="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Участникът е посочил необходимостта и очакваните резултати за всяко от описаните в предложената методология действия.</w:t>
            </w:r>
          </w:p>
          <w:p w:rsidR="00243FEA" w:rsidRPr="00A65717" w:rsidRDefault="00243FEA" w:rsidP="003E70FB">
            <w:pPr>
              <w:numPr>
                <w:ilvl w:val="0"/>
                <w:numId w:val="4"/>
              </w:numPr>
              <w:spacing w:before="20" w:after="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 xml:space="preserve">Участникът е предложил мерки за контрол, </w:t>
            </w:r>
            <w:proofErr w:type="spellStart"/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относими</w:t>
            </w:r>
            <w:proofErr w:type="spellEnd"/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 xml:space="preserve"> към цялостния процес на изпълнение на проектните дейности, които ще прилага с цел качествено и навременно изпълнение на поръчката.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B006FB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lastRenderedPageBreak/>
              <w:t>15 точки</w:t>
            </w:r>
          </w:p>
        </w:tc>
      </w:tr>
      <w:tr w:rsidR="00A65717" w:rsidRPr="00A65717" w:rsidTr="00243F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B006FB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Предложението на участника отговаря на 2 от изискванията:</w:t>
            </w:r>
          </w:p>
          <w:p w:rsidR="00243FEA" w:rsidRPr="00A65717" w:rsidRDefault="00243FEA" w:rsidP="003E70FB">
            <w:pPr>
              <w:numPr>
                <w:ilvl w:val="0"/>
                <w:numId w:val="5"/>
              </w:numPr>
              <w:spacing w:before="20" w:after="2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В предложената методология за управление на проекти е представено виждането на участника  за нейното приложение/адаптиране, съгласно контекста на настоящата поръчка.</w:t>
            </w:r>
          </w:p>
          <w:p w:rsidR="00243FEA" w:rsidRPr="00A65717" w:rsidRDefault="00243FEA" w:rsidP="003E70FB">
            <w:pPr>
              <w:numPr>
                <w:ilvl w:val="0"/>
                <w:numId w:val="5"/>
              </w:numPr>
              <w:spacing w:before="20" w:after="2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Участникът е посочил по какъв начин използването на предложената методология ще допринесе за успешното изпълнение на настоящата поръчка.</w:t>
            </w:r>
          </w:p>
          <w:p w:rsidR="00243FEA" w:rsidRPr="00A65717" w:rsidRDefault="00243FEA" w:rsidP="003E70FB">
            <w:pPr>
              <w:numPr>
                <w:ilvl w:val="0"/>
                <w:numId w:val="5"/>
              </w:numPr>
              <w:spacing w:before="20" w:after="2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Участникът е посочил необходимостта и очакваните резултати за всяко от описаните в предложената методология действия.</w:t>
            </w:r>
          </w:p>
          <w:p w:rsidR="00243FEA" w:rsidRPr="00A65717" w:rsidRDefault="00243FEA" w:rsidP="003E70FB">
            <w:pPr>
              <w:numPr>
                <w:ilvl w:val="0"/>
                <w:numId w:val="5"/>
              </w:numPr>
              <w:spacing w:before="20" w:after="2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 xml:space="preserve">Участникът е предложил мерки за контрол, </w:t>
            </w:r>
            <w:proofErr w:type="spellStart"/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относими</w:t>
            </w:r>
            <w:proofErr w:type="spellEnd"/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 xml:space="preserve"> към цялостния процес на изпълнение на проектните дейности, които ще прилага с цел качествено и навременно изпълнение на поръчката.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B006FB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10 точки</w:t>
            </w:r>
          </w:p>
        </w:tc>
      </w:tr>
      <w:tr w:rsidR="00243FEA" w:rsidRPr="00A65717" w:rsidTr="00243F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B006FB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>Предложението на участника отговаря на 1 от изискванията:</w:t>
            </w:r>
          </w:p>
          <w:p w:rsidR="00243FEA" w:rsidRPr="00A65717" w:rsidRDefault="00243FEA" w:rsidP="003E70FB">
            <w:pPr>
              <w:numPr>
                <w:ilvl w:val="0"/>
                <w:numId w:val="6"/>
              </w:numPr>
              <w:spacing w:before="20" w:after="2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В предложената методология за управление на проекти е представено виждането на участника  за нейното приложение/адаптиране, съгласно контекста на настоящата поръчка.</w:t>
            </w:r>
          </w:p>
          <w:p w:rsidR="00243FEA" w:rsidRPr="00A65717" w:rsidRDefault="00243FEA" w:rsidP="003E70FB">
            <w:pPr>
              <w:numPr>
                <w:ilvl w:val="0"/>
                <w:numId w:val="6"/>
              </w:numPr>
              <w:spacing w:before="20" w:after="2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Участникът е посочил по какъв начин използването на предложената методология ще допринесе за успешното изпълнение на настоящата поръчка.</w:t>
            </w:r>
          </w:p>
          <w:p w:rsidR="00243FEA" w:rsidRPr="00A65717" w:rsidRDefault="00243FEA" w:rsidP="003E70FB">
            <w:pPr>
              <w:numPr>
                <w:ilvl w:val="0"/>
                <w:numId w:val="6"/>
              </w:numPr>
              <w:spacing w:before="20" w:after="2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Участникът е посочил необходимостта и очакваните резултати за всяко от описаните в предложената методология действия.</w:t>
            </w:r>
          </w:p>
          <w:p w:rsidR="00243FEA" w:rsidRPr="00A65717" w:rsidRDefault="00243FEA" w:rsidP="003E70FB">
            <w:pPr>
              <w:numPr>
                <w:ilvl w:val="0"/>
                <w:numId w:val="6"/>
              </w:numPr>
              <w:spacing w:before="20" w:after="2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 xml:space="preserve">Участникът е предложил мерки за контрол, </w:t>
            </w:r>
            <w:proofErr w:type="spellStart"/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>относими</w:t>
            </w:r>
            <w:proofErr w:type="spellEnd"/>
            <w:r w:rsidRPr="00A65717">
              <w:rPr>
                <w:rFonts w:ascii="Times New Roman" w:eastAsia="Times New Roman" w:hAnsi="Times New Roman" w:cs="Times New Roman"/>
                <w:szCs w:val="21"/>
                <w:lang w:val="bg-BG"/>
              </w:rPr>
              <w:t xml:space="preserve"> към цялостния процес на изпълнение на проектните дейности, които ще прилага с цел качествено и навременно изпълнение на поръчката.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243FE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5точки</w:t>
            </w:r>
          </w:p>
        </w:tc>
      </w:tr>
    </w:tbl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43FEA" w:rsidRPr="00A65717" w:rsidRDefault="00243FEA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3FEA" w:rsidRPr="00A65717" w:rsidRDefault="00243FEA" w:rsidP="0039222F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Таблица за оценка на технически </w:t>
            </w:r>
            <w:proofErr w:type="spellStart"/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подпоказател</w:t>
            </w:r>
            <w:proofErr w:type="spellEnd"/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ПП</w:t>
            </w:r>
            <w:r w:rsidR="0039222F"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3FEA" w:rsidRPr="00A65717" w:rsidRDefault="00243FEA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Брой точки</w:t>
            </w:r>
          </w:p>
        </w:tc>
      </w:tr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>Предложението на участника отговаря на всички изисквания:</w:t>
            </w:r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дефинирал обхвата на прегледа и анализа на практиката на страните-членки на ЕС, предпоставка за качественото изпълнение на поръчката, като е посочил релевантни документи и/или информационни източници, които ще изследва.</w:t>
            </w:r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2. Участникът е предложил последователност от дейности и действия, които ще бъдат извършвани на различните етапи на анализа.</w:t>
            </w:r>
            <w:bookmarkStart w:id="0" w:name="_GoBack"/>
            <w:bookmarkEnd w:id="0"/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3. Участникът е предложил методи за провеждане на анализа, практически примери и съвети за извършване на анализа.</w:t>
            </w:r>
          </w:p>
          <w:p w:rsidR="00243FEA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 xml:space="preserve">4. Участникът е посочил необходимостта и очакваните резултати от </w:t>
            </w: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lastRenderedPageBreak/>
              <w:t>изпълнението на дейността по преглед и анализ на практиката на страните –членки на 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lastRenderedPageBreak/>
              <w:t>20 точки</w:t>
            </w:r>
          </w:p>
        </w:tc>
      </w:tr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Предложението на участника отговаря на 3 от изискванията:</w:t>
            </w:r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дефинирал обхвата на прегледа и анализа на практиката на страните-членки на ЕС, предпоставка за качественото изпълнение на поръчката, като е посочил релевантни документи и/или информационни източници, които ще изследва.</w:t>
            </w:r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2. Участникът е предложил последователност от дейности и действия, които ще бъдат извършвани на различните етапи на анализа.</w:t>
            </w:r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3. Участникът е предложил методи за провеждане на анализа, практически примери и съвети за извършване на анализа.</w:t>
            </w:r>
          </w:p>
          <w:p w:rsidR="00243FEA" w:rsidRPr="00A65717" w:rsidRDefault="0039222F" w:rsidP="0039222F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4. Участникът е посочил необходимостта и очакваните резултати от изпълнението на дейността по преглед и анализ на практиката на страните –членки на 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15 точки</w:t>
            </w:r>
          </w:p>
        </w:tc>
      </w:tr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>Предложението на участника отговаря на 2 от изискванията:</w:t>
            </w:r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дефинирал обхвата на прегледа и анализа на практиката на страните-членки на ЕС, предпоставка за качественото изпълнение на поръчката, като е посочил релевантни документи и/или информационни източници, които ще изследва.</w:t>
            </w:r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2. Участникът е предложил последователност от дейности и действия, които ще бъдат извършвани на различните етапи на анализа.</w:t>
            </w:r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3. Участникът е предложил методи за провеждане на анализа, практически примери и съвети за извършване на анализа.</w:t>
            </w:r>
          </w:p>
          <w:p w:rsidR="00243FEA" w:rsidRPr="00A65717" w:rsidRDefault="0039222F" w:rsidP="0039222F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4. Участникът е посочил необходимостта и очакваните резултати от изпълнението на дейността по преглед и анализ на практиката на страните –членки на 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10 точки</w:t>
            </w:r>
          </w:p>
        </w:tc>
      </w:tr>
      <w:tr w:rsidR="00243FEA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>Предложението на участника отговаря на 1 от изискванията:</w:t>
            </w:r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дефинирал обхвата на прегледа и анализа на практиката на страните-членки на ЕС, предпоставка за качественото изпълнение на поръчката, като е посочил релевантни документи и/или информационни източници, които ще изследва.</w:t>
            </w:r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2. Участникът е предложил последователност от дейности и действия, които ще бъдат извършвани на различните етапи на анализа.</w:t>
            </w:r>
          </w:p>
          <w:p w:rsidR="0039222F" w:rsidRPr="00A65717" w:rsidRDefault="0039222F" w:rsidP="0039222F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3. Участникът е предложил методи за провеждане на анализа, практически примери и съвети за извършване на анализа.</w:t>
            </w:r>
          </w:p>
          <w:p w:rsidR="00243FEA" w:rsidRPr="00A65717" w:rsidRDefault="0039222F" w:rsidP="0039222F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4. Участникът е посочил необходимостта и очакваните резултати от изпълнението на дейността по преглед и анализ на практиката на страните –членки на 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EA" w:rsidRPr="00A65717" w:rsidRDefault="00243FEA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5точки</w:t>
            </w:r>
          </w:p>
        </w:tc>
      </w:tr>
    </w:tbl>
    <w:p w:rsidR="00243FEA" w:rsidRPr="00A65717" w:rsidRDefault="00243FEA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43FEA" w:rsidRPr="00A65717" w:rsidRDefault="00243FEA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22F" w:rsidRPr="00A65717" w:rsidRDefault="0039222F" w:rsidP="0039222F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Таблица за оценка на технически </w:t>
            </w:r>
            <w:proofErr w:type="spellStart"/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подпоказател</w:t>
            </w:r>
            <w:proofErr w:type="spellEnd"/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ПП3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22F" w:rsidRPr="00A65717" w:rsidRDefault="0039222F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Брой точки</w:t>
            </w:r>
          </w:p>
        </w:tc>
      </w:tr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>Предложението на участника отговаря на всички изисквания: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дефинирал обхвата на анализа на състоянието на съдилищата, предпоставка за качественото изпълнение на поръчката.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 xml:space="preserve">2. Участникът е предложил последователност от дейности и </w:t>
            </w: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lastRenderedPageBreak/>
              <w:t>действия, които ще бъдат извършвани на различните етапи на анализа.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3. Участникът е предложил методи за провеждане на анализа, практически примери и съвети за извършване на анализа.</w:t>
            </w:r>
          </w:p>
          <w:p w:rsidR="0039222F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4. Участникът е посочил необходимостта и очакваните резултати от изпълнението на дейността по анализ на състоянието на съдилищата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lastRenderedPageBreak/>
              <w:t>20 точки</w:t>
            </w:r>
          </w:p>
        </w:tc>
      </w:tr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Предложението на участника отговаря на 3 от изискванията: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дефинирал обхвата на анализа на състоянието на съдилищата, предпоставка за качественото изпълнение на поръчката.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2. Участникът е предложил последователност от дейности и действия, които ще бъдат извършвани на различните етапи на анализа.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3. Участникът е предложил методи за провеждане на анализа, практически примери и съвети за извършване на анализа.</w:t>
            </w:r>
          </w:p>
          <w:p w:rsidR="0039222F" w:rsidRPr="00A65717" w:rsidRDefault="00907405" w:rsidP="00907405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4. Участникът е посочил необходимостта и очакваните резултати от изпълнението на дейността по анализ на състоянието на съдилищата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15 точки</w:t>
            </w:r>
          </w:p>
        </w:tc>
      </w:tr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>Предложението на участника отговаря на 2 от изискванията: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дефинирал обхвата на анализа на състоянието на съдилищата, предпоставка за качественото изпълнение на поръчката.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2. Участникът е предложил последователност от дейности и действия, които ще бъдат извършвани на различните етапи на анализа.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3. Участникът е предложил методи за провеждане на анализа, практически примери и съвети за извършване на анализа.</w:t>
            </w:r>
          </w:p>
          <w:p w:rsidR="0039222F" w:rsidRPr="00A65717" w:rsidRDefault="00907405" w:rsidP="00907405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4. Участникът е посочил необходимостта и очакваните резултати от изпълнението на дейността по анализ на състоянието на съдилищата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10 точки</w:t>
            </w:r>
          </w:p>
        </w:tc>
      </w:tr>
      <w:tr w:rsidR="0039222F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>Предложението на участника отговаря на 1 от изискванията: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дефинирал обхвата на анализа на състоянието на съдилищата, предпоставка за качественото изпълнение на поръчката.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2. Участникът е предложил последователност от дейности и действия, които ще бъдат извършвани на различните етапи на анализа.</w:t>
            </w:r>
          </w:p>
          <w:p w:rsidR="00907405" w:rsidRPr="00A65717" w:rsidRDefault="00907405" w:rsidP="00907405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3. Участникът е предложил методи за провеждане на анализа, практически примери и съвети за извършване на анализа.</w:t>
            </w:r>
          </w:p>
          <w:p w:rsidR="0039222F" w:rsidRPr="00A65717" w:rsidRDefault="00907405" w:rsidP="00907405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4. Участникът е посочил необходимостта и очакваните резултати от изпълнението на дейността по анализ на състоянието на съдилищата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5точки</w:t>
            </w:r>
          </w:p>
        </w:tc>
      </w:tr>
    </w:tbl>
    <w:p w:rsidR="00243FEA" w:rsidRPr="00A65717" w:rsidRDefault="00243FEA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43FEA" w:rsidRPr="00A65717" w:rsidRDefault="00243FEA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22F" w:rsidRPr="00A65717" w:rsidRDefault="0039222F" w:rsidP="0039222F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Таблица за оценка на технически </w:t>
            </w:r>
            <w:proofErr w:type="spellStart"/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подпоказател</w:t>
            </w:r>
            <w:proofErr w:type="spellEnd"/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ПП4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22F" w:rsidRPr="00A65717" w:rsidRDefault="0039222F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Брой точки</w:t>
            </w:r>
          </w:p>
        </w:tc>
      </w:tr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>Предложението на участника отговаря на всички изисквания:</w:t>
            </w:r>
          </w:p>
          <w:p w:rsidR="00696B86" w:rsidRPr="00A65717" w:rsidRDefault="00696B86" w:rsidP="00696B86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предложил последователност от дейности и действия, които следва да бъдат извършвани при реализирането на дейността по разработване на предложения за оптимизация на съдебната карта</w:t>
            </w:r>
          </w:p>
          <w:p w:rsidR="0039222F" w:rsidRPr="00A65717" w:rsidRDefault="00696B86" w:rsidP="00696B86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 xml:space="preserve">2. Участникът е посочил необходимостта и очакваните резултати от изпълнението на дейността по изготвяне на предложения за </w:t>
            </w: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lastRenderedPageBreak/>
              <w:t>изменения и допълнения на действащото законодателство в съответствие с резултатите по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lastRenderedPageBreak/>
              <w:t>20 точки</w:t>
            </w:r>
          </w:p>
        </w:tc>
      </w:tr>
      <w:tr w:rsidR="0039222F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lastRenderedPageBreak/>
              <w:t xml:space="preserve">Предложението на участника отговаря на </w:t>
            </w:r>
            <w:r w:rsidR="00696B86" w:rsidRPr="00A65717">
              <w:rPr>
                <w:rFonts w:ascii="Times New Roman" w:eastAsia="Times New Roman" w:hAnsi="Times New Roman" w:cs="Times New Roman"/>
                <w:lang w:val="bg-BG"/>
              </w:rPr>
              <w:t>1</w:t>
            </w:r>
            <w:r w:rsidRPr="00A65717">
              <w:rPr>
                <w:rFonts w:ascii="Times New Roman" w:eastAsia="Times New Roman" w:hAnsi="Times New Roman" w:cs="Times New Roman"/>
                <w:lang w:val="bg-BG"/>
              </w:rPr>
              <w:t xml:space="preserve"> от изискванията:</w:t>
            </w:r>
          </w:p>
          <w:p w:rsidR="00696B86" w:rsidRPr="00A65717" w:rsidRDefault="00696B86" w:rsidP="00696B86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предложил последователност от дейности и действия, които следва да бъдат извършвани при реализирането на дейността по разработване на предложения за оптимизация на съдебната карта</w:t>
            </w:r>
          </w:p>
          <w:p w:rsidR="0039222F" w:rsidRPr="00A65717" w:rsidRDefault="00696B86" w:rsidP="00696B86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2. Участникът е посочил необходимостта и очакваните резултати от изпълнението на дейността по изготвяне на предложения за изменения и допълнения на действащото законодателство в съответствие с резултатите по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696B8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  <w:r w:rsidR="00696B86" w:rsidRPr="00A65717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точки</w:t>
            </w:r>
          </w:p>
        </w:tc>
      </w:tr>
    </w:tbl>
    <w:p w:rsidR="00243FEA" w:rsidRPr="00A65717" w:rsidRDefault="00243FEA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43FEA" w:rsidRPr="00A65717" w:rsidRDefault="00243FEA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243FEA" w:rsidRPr="00A65717" w:rsidRDefault="00243FEA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22F" w:rsidRPr="00A65717" w:rsidRDefault="0039222F" w:rsidP="0039222F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Таблица за оценка на технически </w:t>
            </w:r>
            <w:proofErr w:type="spellStart"/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подпоказател</w:t>
            </w:r>
            <w:proofErr w:type="spellEnd"/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ПП5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22F" w:rsidRPr="00A65717" w:rsidRDefault="0039222F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Брой точки</w:t>
            </w:r>
          </w:p>
        </w:tc>
      </w:tr>
      <w:tr w:rsidR="00A65717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>Предложението на участника отговаря на всички изисквания:</w:t>
            </w:r>
          </w:p>
          <w:p w:rsidR="00B47E03" w:rsidRPr="00A65717" w:rsidRDefault="00B47E03" w:rsidP="00B47E03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предложил последователност от дейности и действия, които следва да бъдат извършвани при реализирането на дейността по изготвяне на пакет от предложения за изменение и допълнение на действащото законодателство за въвеждане на оптимизирана съдебна карта</w:t>
            </w:r>
          </w:p>
          <w:p w:rsidR="0039222F" w:rsidRPr="00A65717" w:rsidRDefault="00B47E03" w:rsidP="00B47E03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2. Участникът е посочил необходимостта и очакваните резултати от изпълнението на дейността по изготвяне на предложения за изменения и допълнения на действащото законодателство в съответствие с резултатите по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20 точки</w:t>
            </w:r>
          </w:p>
        </w:tc>
      </w:tr>
      <w:tr w:rsidR="0039222F" w:rsidRPr="00A65717" w:rsidTr="009F645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39222F" w:rsidP="009F645D">
            <w:pPr>
              <w:spacing w:before="20" w:after="20"/>
              <w:ind w:firstLine="318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A65717">
              <w:rPr>
                <w:rFonts w:ascii="Times New Roman" w:eastAsia="Times New Roman" w:hAnsi="Times New Roman" w:cs="Times New Roman"/>
                <w:lang w:val="bg-BG"/>
              </w:rPr>
              <w:t xml:space="preserve">Предложението на участника отговаря на </w:t>
            </w:r>
            <w:r w:rsidR="00B47E03" w:rsidRPr="00A65717">
              <w:rPr>
                <w:rFonts w:ascii="Times New Roman" w:eastAsia="Times New Roman" w:hAnsi="Times New Roman" w:cs="Times New Roman"/>
                <w:lang w:val="bg-BG"/>
              </w:rPr>
              <w:t>1</w:t>
            </w:r>
            <w:r w:rsidRPr="00A65717">
              <w:rPr>
                <w:rFonts w:ascii="Times New Roman" w:eastAsia="Times New Roman" w:hAnsi="Times New Roman" w:cs="Times New Roman"/>
                <w:lang w:val="bg-BG"/>
              </w:rPr>
              <w:t xml:space="preserve"> от изискванията:</w:t>
            </w:r>
          </w:p>
          <w:p w:rsidR="00B47E03" w:rsidRPr="00A65717" w:rsidRDefault="00B47E03" w:rsidP="00B47E03">
            <w:pPr>
              <w:spacing w:before="20" w:after="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1. Участникът е предложил последователност от дейности и действия, които следва да бъдат извършвани при реализирането на дейността по изготвяне на пакет от предложения за изменение и допълнение на действащото законодателство за въвеждане на оптимизирана съдебна карта</w:t>
            </w:r>
          </w:p>
          <w:p w:rsidR="0039222F" w:rsidRPr="00A65717" w:rsidRDefault="00B47E03" w:rsidP="00B47E03">
            <w:p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szCs w:val="21"/>
                <w:lang w:val="bg-BG" w:eastAsia="en-GB"/>
              </w:rPr>
              <w:t>2. Участникът е посочил необходимостта и очакваните резултати от изпълнението на дейността по изготвяне на предложения за изменения и допълнения на действащото законодателство в съответствие с резултатите по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2F" w:rsidRPr="00A65717" w:rsidRDefault="00B47E03" w:rsidP="009F645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65717">
              <w:rPr>
                <w:rFonts w:ascii="Times New Roman" w:eastAsia="Times New Roman" w:hAnsi="Times New Roman" w:cs="Times New Roman"/>
                <w:lang w:val="bg-BG" w:eastAsia="en-GB"/>
              </w:rPr>
              <w:t>10</w:t>
            </w:r>
            <w:r w:rsidR="0039222F" w:rsidRPr="00A65717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точки</w:t>
            </w:r>
          </w:p>
        </w:tc>
      </w:tr>
    </w:tbl>
    <w:p w:rsidR="00243FEA" w:rsidRPr="00A65717" w:rsidRDefault="00243FEA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3E70FB" w:rsidRPr="00A65717" w:rsidRDefault="003E70FB" w:rsidP="003E70F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 целите на настоящата методика въведените по-горе обстоятелства се ползват със следното съдържание:</w:t>
      </w:r>
    </w:p>
    <w:p w:rsidR="003E70FB" w:rsidRPr="00A65717" w:rsidRDefault="003E70FB" w:rsidP="003E70FB">
      <w:pPr>
        <w:numPr>
          <w:ilvl w:val="0"/>
          <w:numId w:val="10"/>
        </w:numPr>
        <w:spacing w:before="120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1"/>
          <w:lang w:eastAsia="zh-CN" w:bidi="hi-IN"/>
        </w:rPr>
        <w:t>„успешно изпълнение“</w:t>
      </w:r>
      <w:r w:rsidRPr="00A65717">
        <w:rPr>
          <w:rFonts w:ascii="Times New Roman" w:eastAsia="Times New Roman" w:hAnsi="Times New Roman" w:cs="Times New Roman"/>
          <w:sz w:val="24"/>
          <w:szCs w:val="21"/>
          <w:lang w:eastAsia="zh-CN" w:bidi="hi-IN"/>
        </w:rPr>
        <w:t xml:space="preserve"> – навременно постигане на очакваните резултати по поръчката, съгласно Раздел 4 „Резултати от изпълнението на поръчката“ от Техническата спецификация.</w:t>
      </w:r>
    </w:p>
    <w:p w:rsidR="003E70FB" w:rsidRPr="00A65717" w:rsidRDefault="003E70FB" w:rsidP="003E70FB">
      <w:pPr>
        <w:numPr>
          <w:ilvl w:val="0"/>
          <w:numId w:val="10"/>
        </w:numPr>
        <w:spacing w:before="120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1"/>
          <w:lang w:eastAsia="zh-CN" w:bidi="hi-IN"/>
        </w:rPr>
        <w:t>„необходимост на дейност/действие“</w:t>
      </w:r>
      <w:r w:rsidRPr="00A65717">
        <w:rPr>
          <w:rFonts w:ascii="Times New Roman" w:eastAsia="Times New Roman" w:hAnsi="Times New Roman" w:cs="Times New Roman"/>
          <w:sz w:val="24"/>
          <w:szCs w:val="21"/>
          <w:lang w:eastAsia="zh-CN" w:bidi="hi-IN"/>
        </w:rPr>
        <w:t xml:space="preserve"> – дейност/действие, което е закономерна част от изпълнението предмета на поръчката, в следствие на нормативен и/или административен акт и/или друг стратегически или вътрешноведомствен документ и/или дейност/действие, което води до улесняване на процеса по изпълнение на поръчката;</w:t>
      </w:r>
    </w:p>
    <w:p w:rsidR="003E70FB" w:rsidRPr="00A65717" w:rsidRDefault="003E70FB" w:rsidP="003E70FB">
      <w:pPr>
        <w:numPr>
          <w:ilvl w:val="0"/>
          <w:numId w:val="10"/>
        </w:numPr>
        <w:spacing w:before="120"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1"/>
          <w:lang w:eastAsia="zh-CN" w:bidi="hi-IN"/>
        </w:rPr>
        <w:lastRenderedPageBreak/>
        <w:t>„</w:t>
      </w:r>
      <w:proofErr w:type="spellStart"/>
      <w:r w:rsidRPr="00A65717">
        <w:rPr>
          <w:rFonts w:ascii="Times New Roman" w:eastAsia="Times New Roman" w:hAnsi="Times New Roman" w:cs="Times New Roman"/>
          <w:b/>
          <w:sz w:val="24"/>
          <w:szCs w:val="21"/>
          <w:lang w:eastAsia="zh-CN" w:bidi="hi-IN"/>
        </w:rPr>
        <w:t>относим</w:t>
      </w:r>
      <w:proofErr w:type="spellEnd"/>
      <w:r w:rsidRPr="00A65717">
        <w:rPr>
          <w:rFonts w:ascii="Times New Roman" w:eastAsia="Times New Roman" w:hAnsi="Times New Roman" w:cs="Times New Roman"/>
          <w:b/>
          <w:sz w:val="24"/>
          <w:szCs w:val="21"/>
          <w:lang w:eastAsia="zh-CN" w:bidi="hi-IN"/>
        </w:rPr>
        <w:t>/а механизъм/мярка“</w:t>
      </w:r>
      <w:r w:rsidRPr="00A65717">
        <w:rPr>
          <w:rFonts w:ascii="Times New Roman" w:eastAsia="Times New Roman" w:hAnsi="Times New Roman" w:cs="Times New Roman"/>
          <w:sz w:val="24"/>
          <w:szCs w:val="21"/>
          <w:lang w:eastAsia="zh-CN" w:bidi="hi-IN"/>
        </w:rPr>
        <w:t xml:space="preserve"> – механизъм/мярка с организационен характер, който/която е свързан/а с предмета на процедурата и е част от методологията за изпълнение, която ще използва участника;</w:t>
      </w:r>
    </w:p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3E70FB" w:rsidRPr="00A65717" w:rsidRDefault="003E70FB" w:rsidP="0046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Във всички случаи, когато комисията приема, че дадена/о дейност/действие е „необходимост“ и тази необходимост е посочена от участниците, съответно ако не го приема за „необходимост“ или участника не е посочил „необходимостта“, тя излага мотиви за това. В случаите, когато комисията приема, че една дейност/действие не е „необходимо“ тя не присъжда точки.</w:t>
      </w:r>
    </w:p>
    <w:p w:rsidR="003E70FB" w:rsidRPr="00A65717" w:rsidRDefault="003E70FB" w:rsidP="003E7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3E70FB" w:rsidRPr="00A65717" w:rsidRDefault="003E70FB" w:rsidP="0046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Във всички случаи</w:t>
      </w:r>
      <w:r w:rsidR="00462DA4"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, когато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комисията приема, че даден/а механизъм/мярка е „</w:t>
      </w:r>
      <w:proofErr w:type="spellStart"/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относим</w:t>
      </w:r>
      <w:proofErr w:type="spellEnd"/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/а“, съответно „</w:t>
      </w:r>
      <w:proofErr w:type="spellStart"/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неотносим</w:t>
      </w:r>
      <w:proofErr w:type="spellEnd"/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/а“, тя излага мотиви за това. В случаите, когато комисията приема, че даден/а механизъм/мярка „не е </w:t>
      </w:r>
      <w:proofErr w:type="spellStart"/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относим</w:t>
      </w:r>
      <w:proofErr w:type="spellEnd"/>
      <w:r w:rsidRPr="00A6571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/а“ тя не присъжда точки.</w:t>
      </w:r>
    </w:p>
    <w:p w:rsidR="003E70FB" w:rsidRPr="00A65717" w:rsidRDefault="003E70FB" w:rsidP="003E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3E70FB" w:rsidRPr="00A65717" w:rsidRDefault="003E70FB" w:rsidP="003E70FB">
      <w:pPr>
        <w:spacing w:after="120" w:line="240" w:lineRule="auto"/>
        <w:ind w:left="426" w:hanging="426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 xml:space="preserve">2. 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ab/>
        <w:t>Комплексна оценка на офертите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 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(KO)</w:t>
      </w:r>
    </w:p>
    <w:p w:rsidR="003E70FB" w:rsidRPr="00A65717" w:rsidRDefault="003E70FB" w:rsidP="003E70FB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Всяка допусната до оценка оферта получава 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крайна комплексна оценка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, изразена в точки по следната формула:</w:t>
      </w:r>
    </w:p>
    <w:p w:rsidR="003E70FB" w:rsidRPr="00A65717" w:rsidRDefault="003E70FB" w:rsidP="003E70FB">
      <w:pPr>
        <w:spacing w:after="120" w:line="240" w:lineRule="auto"/>
        <w:jc w:val="both"/>
        <w:rPr>
          <w:rFonts w:ascii="DejaVu Serif" w:eastAsia="DejaVu Sans" w:hAnsi="DejaVu Serif" w:cs="Noto Sans Devanagari"/>
          <w:sz w:val="12"/>
          <w:szCs w:val="12"/>
          <w:lang w:eastAsia="zh-CN" w:bidi="hi-IN"/>
        </w:rPr>
      </w:pPr>
    </w:p>
    <w:p w:rsidR="003E70FB" w:rsidRPr="00A65717" w:rsidRDefault="003E70FB" w:rsidP="003E70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DBE5F1"/>
        <w:spacing w:after="120" w:line="240" w:lineRule="auto"/>
        <w:ind w:left="2835" w:right="28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</w:pPr>
    </w:p>
    <w:p w:rsidR="003E70FB" w:rsidRPr="00A65717" w:rsidRDefault="003E70FB" w:rsidP="003E70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DBE5F1"/>
        <w:spacing w:after="120" w:line="240" w:lineRule="auto"/>
        <w:ind w:left="2835" w:right="2834"/>
        <w:jc w:val="center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КО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 xml:space="preserve"> = П</w:t>
      </w:r>
      <w:r w:rsidR="00B462EA"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1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 xml:space="preserve"> + П</w:t>
      </w:r>
      <w:r w:rsidR="00B462EA"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2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</w:p>
    <w:p w:rsidR="003E70FB" w:rsidRPr="00A65717" w:rsidRDefault="003E70FB" w:rsidP="003E70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DBE5F1"/>
        <w:spacing w:after="120" w:line="240" w:lineRule="auto"/>
        <w:ind w:left="2835" w:right="283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GB" w:bidi="hi-IN"/>
        </w:rPr>
      </w:pPr>
    </w:p>
    <w:p w:rsidR="003E70FB" w:rsidRPr="00A65717" w:rsidRDefault="003E70FB" w:rsidP="003E70FB">
      <w:pPr>
        <w:spacing w:after="120" w:line="240" w:lineRule="auto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i/>
          <w:sz w:val="24"/>
          <w:szCs w:val="24"/>
          <w:lang w:eastAsia="en-GB" w:bidi="hi-IN"/>
        </w:rPr>
        <w:t>Където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:</w:t>
      </w:r>
    </w:p>
    <w:p w:rsidR="003E70FB" w:rsidRPr="00A65717" w:rsidRDefault="003E70FB" w:rsidP="003E70FB">
      <w:pPr>
        <w:spacing w:before="120" w:after="0" w:line="240" w:lineRule="auto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КО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GB" w:bidi="hi-IN"/>
        </w:rPr>
        <w:t xml:space="preserve"> 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е </w:t>
      </w:r>
      <w:r w:rsidRPr="00A65717">
        <w:rPr>
          <w:rFonts w:ascii="Times New Roman" w:eastAsia="Times New Roman" w:hAnsi="Times New Roman" w:cs="Times New Roman"/>
          <w:sz w:val="24"/>
          <w:szCs w:val="24"/>
          <w:u w:val="single"/>
          <w:lang w:eastAsia="en-GB" w:bidi="hi-IN"/>
        </w:rPr>
        <w:t xml:space="preserve">комплексната оценка на офертата на </w:t>
      </w:r>
      <w:r w:rsidRPr="00A6571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sz w:val="24"/>
          <w:szCs w:val="24"/>
          <w:u w:val="single"/>
          <w:lang w:eastAsia="en-GB" w:bidi="hi-IN"/>
        </w:rPr>
        <w:t xml:space="preserve">-тия на участник; </w:t>
      </w:r>
    </w:p>
    <w:p w:rsidR="003E70FB" w:rsidRPr="00A65717" w:rsidRDefault="003E70FB" w:rsidP="003E70FB">
      <w:pPr>
        <w:spacing w:before="120" w:after="0" w:line="240" w:lineRule="auto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П</w:t>
      </w:r>
      <w:r w:rsidR="00B462EA"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1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 е </w:t>
      </w:r>
      <w:r w:rsidRPr="00A65717">
        <w:rPr>
          <w:rFonts w:ascii="Times New Roman" w:eastAsia="Times New Roman" w:hAnsi="Times New Roman" w:cs="Times New Roman"/>
          <w:sz w:val="24"/>
          <w:szCs w:val="24"/>
          <w:u w:val="single"/>
          <w:lang w:eastAsia="en-GB" w:bidi="hi-IN"/>
        </w:rPr>
        <w:t xml:space="preserve">брой точки по показател „Цена“ на офертата на </w:t>
      </w:r>
      <w:r w:rsidRPr="00A6571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sz w:val="24"/>
          <w:szCs w:val="24"/>
          <w:u w:val="single"/>
          <w:lang w:eastAsia="en-GB" w:bidi="hi-IN"/>
        </w:rPr>
        <w:t>-тия участник</w:t>
      </w:r>
    </w:p>
    <w:p w:rsidR="003E70FB" w:rsidRPr="00A65717" w:rsidRDefault="003E70FB" w:rsidP="003E70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П</w:t>
      </w:r>
      <w:r w:rsidR="00B462EA"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2</w:t>
      </w:r>
      <w:r w:rsidRPr="00A65717">
        <w:rPr>
          <w:rFonts w:ascii="Calibri" w:eastAsia="Times New Roman" w:hAnsi="Calibri" w:cs="Times New Roman"/>
          <w:b/>
          <w:sz w:val="24"/>
          <w:szCs w:val="24"/>
          <w:vertAlign w:val="subscript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 е </w:t>
      </w:r>
      <w:r w:rsidRPr="00A65717">
        <w:rPr>
          <w:rFonts w:ascii="Times New Roman" w:eastAsia="Times New Roman" w:hAnsi="Times New Roman" w:cs="Times New Roman"/>
          <w:sz w:val="24"/>
          <w:szCs w:val="24"/>
          <w:u w:val="single"/>
          <w:lang w:eastAsia="en-GB" w:bidi="hi-IN"/>
        </w:rPr>
        <w:t>брой точки по показател „</w:t>
      </w:r>
      <w:r w:rsidRPr="00A657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GB" w:bidi="hi-IN"/>
        </w:rPr>
        <w:t>Качество</w:t>
      </w:r>
      <w:r w:rsidRPr="00A65717">
        <w:rPr>
          <w:rFonts w:ascii="Times New Roman" w:eastAsia="Times New Roman" w:hAnsi="Times New Roman" w:cs="Times New Roman"/>
          <w:sz w:val="24"/>
          <w:szCs w:val="24"/>
          <w:u w:val="single"/>
          <w:lang w:eastAsia="en-GB" w:bidi="hi-IN"/>
        </w:rPr>
        <w:t xml:space="preserve">“ на офертата на </w:t>
      </w:r>
      <w:r w:rsidRPr="00A6571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 w:bidi="hi-IN"/>
        </w:rPr>
        <w:t>n</w:t>
      </w:r>
      <w:r w:rsidRPr="00A65717">
        <w:rPr>
          <w:rFonts w:ascii="Times New Roman" w:eastAsia="Times New Roman" w:hAnsi="Times New Roman" w:cs="Times New Roman"/>
          <w:sz w:val="24"/>
          <w:szCs w:val="24"/>
          <w:u w:val="single"/>
          <w:lang w:eastAsia="en-GB" w:bidi="hi-IN"/>
        </w:rPr>
        <w:t>-тия участник.</w:t>
      </w:r>
    </w:p>
    <w:p w:rsidR="003E70FB" w:rsidRPr="00A65717" w:rsidRDefault="003E70FB" w:rsidP="003E70F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  <w:lang w:val="en-US" w:eastAsia="en-GB" w:bidi="hi-IN"/>
        </w:rPr>
      </w:pPr>
    </w:p>
    <w:p w:rsidR="003E70FB" w:rsidRPr="00A65717" w:rsidRDefault="003E70FB" w:rsidP="003E70FB">
      <w:pPr>
        <w:spacing w:before="120" w:after="0" w:line="240" w:lineRule="auto"/>
        <w:ind w:firstLine="426"/>
        <w:jc w:val="both"/>
        <w:rPr>
          <w:rFonts w:ascii="DejaVu Serif" w:eastAsia="DejaVu Sans" w:hAnsi="DejaVu Serif" w:cs="Noto Sans Devanagari"/>
          <w:sz w:val="24"/>
          <w:szCs w:val="24"/>
          <w:lang w:eastAsia="zh-CN" w:bidi="hi-IN"/>
        </w:rPr>
      </w:pP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Класирането се извършва в низходящ ред, като на първо място се класира офертата, получила най-висока комплексна оценка по </w:t>
      </w:r>
      <w:r w:rsidR="009B33A2"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посочената формула. В случай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 че комплексните оценки на две или повече оферти са равни, при класирането им се прилагат правилата на чл. 58 ал.2 и ал.3 от ППЗОП.</w:t>
      </w:r>
    </w:p>
    <w:p w:rsidR="003E70FB" w:rsidRPr="00A65717" w:rsidRDefault="003E70FB" w:rsidP="003E70F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  <w:lang w:val="en-US" w:eastAsia="en-GB" w:bidi="hi-IN"/>
        </w:rPr>
      </w:pPr>
    </w:p>
    <w:p w:rsidR="003E70FB" w:rsidRPr="00A65717" w:rsidRDefault="003E70FB" w:rsidP="003E70FB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 w:bidi="hi-IN"/>
        </w:rPr>
      </w:pPr>
      <w:r w:rsidRPr="00A65717">
        <w:rPr>
          <w:rFonts w:ascii="Times New Roman" w:eastAsia="Times New Roman" w:hAnsi="Times New Roman" w:cs="Times New Roman"/>
          <w:b/>
          <w:sz w:val="24"/>
          <w:szCs w:val="24"/>
          <w:lang w:eastAsia="en-GB" w:bidi="hi-IN"/>
        </w:rPr>
        <w:t>Участникът, класиран на първо място, се определя за Изпълнител и се предлага на Възложителя за сключване на договор с него</w:t>
      </w:r>
      <w:r w:rsidRPr="00A65717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.</w:t>
      </w:r>
    </w:p>
    <w:p w:rsidR="006C7788" w:rsidRPr="00A65717" w:rsidRDefault="006C7788"/>
    <w:p w:rsidR="006C7788" w:rsidRPr="00A65717" w:rsidRDefault="006C7788" w:rsidP="006C7788"/>
    <w:p w:rsidR="006C7788" w:rsidRPr="00A65717" w:rsidRDefault="006C7788" w:rsidP="006C7788"/>
    <w:p w:rsidR="006C7788" w:rsidRPr="00A65717" w:rsidRDefault="006C7788" w:rsidP="006C7788"/>
    <w:p w:rsidR="006C7788" w:rsidRPr="00A65717" w:rsidRDefault="006C7788" w:rsidP="006C7788"/>
    <w:p w:rsidR="006C7788" w:rsidRPr="00A65717" w:rsidRDefault="006C7788" w:rsidP="006C7788"/>
    <w:p w:rsidR="00B47E03" w:rsidRPr="00A65717" w:rsidRDefault="00B47E03" w:rsidP="007D3B76">
      <w:pPr>
        <w:rPr>
          <w:b/>
        </w:rPr>
      </w:pPr>
    </w:p>
    <w:p w:rsidR="00B47E03" w:rsidRPr="00A65717" w:rsidRDefault="00B47E03" w:rsidP="007D3B76">
      <w:pPr>
        <w:rPr>
          <w:b/>
        </w:rPr>
      </w:pPr>
    </w:p>
    <w:sectPr w:rsidR="00B47E03" w:rsidRPr="00A6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altName w:val="Cambria"/>
    <w:panose1 w:val="02060603050605020204"/>
    <w:charset w:val="CC"/>
    <w:family w:val="roman"/>
    <w:pitch w:val="variable"/>
    <w:sig w:usb0="E40006FF" w:usb1="5200F1FB" w:usb2="0A04002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BAF"/>
    <w:multiLevelType w:val="hybridMultilevel"/>
    <w:tmpl w:val="397CCAF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5A32"/>
    <w:multiLevelType w:val="hybridMultilevel"/>
    <w:tmpl w:val="F766B29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513E"/>
    <w:multiLevelType w:val="multilevel"/>
    <w:tmpl w:val="F322EC7C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7536EC"/>
    <w:multiLevelType w:val="hybridMultilevel"/>
    <w:tmpl w:val="A2B465C8"/>
    <w:lvl w:ilvl="0" w:tplc="04020011">
      <w:start w:val="1"/>
      <w:numFmt w:val="decimal"/>
      <w:lvlText w:val="%1)"/>
      <w:lvlJc w:val="left"/>
      <w:pPr>
        <w:ind w:left="6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80F"/>
    <w:multiLevelType w:val="hybridMultilevel"/>
    <w:tmpl w:val="F766B29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1565B"/>
    <w:multiLevelType w:val="hybridMultilevel"/>
    <w:tmpl w:val="49D4B0B2"/>
    <w:lvl w:ilvl="0" w:tplc="C1A8BB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7643B"/>
    <w:multiLevelType w:val="hybridMultilevel"/>
    <w:tmpl w:val="CC624C7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369C"/>
    <w:multiLevelType w:val="hybridMultilevel"/>
    <w:tmpl w:val="91D2898A"/>
    <w:lvl w:ilvl="0" w:tplc="B7F255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023560"/>
    <w:multiLevelType w:val="hybridMultilevel"/>
    <w:tmpl w:val="D3366C7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12497"/>
    <w:multiLevelType w:val="hybridMultilevel"/>
    <w:tmpl w:val="CC624C7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130BD"/>
    <w:multiLevelType w:val="hybridMultilevel"/>
    <w:tmpl w:val="F766B29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D7"/>
    <w:rsid w:val="00033B89"/>
    <w:rsid w:val="0006065F"/>
    <w:rsid w:val="000B54B5"/>
    <w:rsid w:val="000C2457"/>
    <w:rsid w:val="001B241C"/>
    <w:rsid w:val="001E3F5C"/>
    <w:rsid w:val="00243FEA"/>
    <w:rsid w:val="00292B2C"/>
    <w:rsid w:val="00354679"/>
    <w:rsid w:val="0039222F"/>
    <w:rsid w:val="003E70FB"/>
    <w:rsid w:val="00402B33"/>
    <w:rsid w:val="00462DA4"/>
    <w:rsid w:val="00484443"/>
    <w:rsid w:val="005204BC"/>
    <w:rsid w:val="005729AC"/>
    <w:rsid w:val="006931D7"/>
    <w:rsid w:val="00696B86"/>
    <w:rsid w:val="006C7788"/>
    <w:rsid w:val="007D3B76"/>
    <w:rsid w:val="00907405"/>
    <w:rsid w:val="00924600"/>
    <w:rsid w:val="009B33A2"/>
    <w:rsid w:val="00A061E6"/>
    <w:rsid w:val="00A65717"/>
    <w:rsid w:val="00B462EA"/>
    <w:rsid w:val="00B47E03"/>
    <w:rsid w:val="00B97EC1"/>
    <w:rsid w:val="00BA3715"/>
    <w:rsid w:val="00BA6BC7"/>
    <w:rsid w:val="00C94536"/>
    <w:rsid w:val="00DB7184"/>
    <w:rsid w:val="00E45FB6"/>
    <w:rsid w:val="00E6220D"/>
    <w:rsid w:val="00E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F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DB71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184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39"/>
    <w:rsid w:val="003E70FB"/>
    <w:pPr>
      <w:spacing w:after="0" w:line="240" w:lineRule="auto"/>
    </w:pPr>
    <w:rPr>
      <w:rFonts w:ascii="DejaVu Serif" w:eastAsia="DejaVu Sans" w:hAnsi="DejaVu Serif" w:cs="Noto Sans Devanagari"/>
      <w:sz w:val="24"/>
      <w:szCs w:val="24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B3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B33"/>
    <w:rPr>
      <w:rFonts w:ascii="Times New Roman" w:eastAsia="Calibri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B33A2"/>
    <w:pPr>
      <w:widowControl w:val="0"/>
      <w:autoSpaceDE w:val="0"/>
      <w:autoSpaceDN w:val="0"/>
      <w:adjustRightInd w:val="0"/>
      <w:spacing w:after="0" w:line="240" w:lineRule="auto"/>
      <w:ind w:left="21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1"/>
    <w:rsid w:val="009B33A2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F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DB71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184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39"/>
    <w:rsid w:val="003E70FB"/>
    <w:pPr>
      <w:spacing w:after="0" w:line="240" w:lineRule="auto"/>
    </w:pPr>
    <w:rPr>
      <w:rFonts w:ascii="DejaVu Serif" w:eastAsia="DejaVu Sans" w:hAnsi="DejaVu Serif" w:cs="Noto Sans Devanagari"/>
      <w:sz w:val="24"/>
      <w:szCs w:val="24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B3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B33"/>
    <w:rPr>
      <w:rFonts w:ascii="Times New Roman" w:eastAsia="Calibri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B33A2"/>
    <w:pPr>
      <w:widowControl w:val="0"/>
      <w:autoSpaceDE w:val="0"/>
      <w:autoSpaceDN w:val="0"/>
      <w:adjustRightInd w:val="0"/>
      <w:spacing w:after="0" w:line="240" w:lineRule="auto"/>
      <w:ind w:left="21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1"/>
    <w:rsid w:val="009B33A2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2249</Words>
  <Characters>12825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User</cp:lastModifiedBy>
  <cp:revision>2</cp:revision>
  <cp:lastPrinted>2018-04-11T10:53:00Z</cp:lastPrinted>
  <dcterms:created xsi:type="dcterms:W3CDTF">2018-07-25T07:32:00Z</dcterms:created>
  <dcterms:modified xsi:type="dcterms:W3CDTF">2018-07-25T07:32:00Z</dcterms:modified>
</cp:coreProperties>
</file>